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2E285C42" w:rsidR="00560BC2" w:rsidRPr="0074622A" w:rsidRDefault="00C554BD" w:rsidP="00C554B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Szkoła Podstawowa nr 11 im. Marii Kownackiej w Łodzi</w:t>
            </w: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7CD48E3A" w14:textId="095E2225" w:rsidR="00C554BD" w:rsidRPr="00C554BD" w:rsidRDefault="00C554BD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554BD">
              <w:rPr>
                <w:rFonts w:ascii="Times New Roman" w:hAnsi="Times New Roman"/>
                <w:iCs/>
                <w:sz w:val="20"/>
                <w:szCs w:val="20"/>
              </w:rPr>
              <w:t>00000000781492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38"/>
        <w:gridCol w:w="359"/>
        <w:gridCol w:w="359"/>
        <w:gridCol w:w="338"/>
        <w:gridCol w:w="399"/>
        <w:gridCol w:w="327"/>
        <w:gridCol w:w="327"/>
        <w:gridCol w:w="315"/>
        <w:gridCol w:w="315"/>
        <w:gridCol w:w="266"/>
        <w:gridCol w:w="338"/>
        <w:gridCol w:w="338"/>
        <w:gridCol w:w="359"/>
        <w:gridCol w:w="359"/>
        <w:gridCol w:w="338"/>
        <w:gridCol w:w="266"/>
        <w:gridCol w:w="338"/>
        <w:gridCol w:w="359"/>
        <w:gridCol w:w="359"/>
        <w:gridCol w:w="266"/>
        <w:gridCol w:w="327"/>
        <w:gridCol w:w="338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62154" w:rsidRPr="0074622A" w14:paraId="363E7E78" w14:textId="77777777" w:rsidTr="00B25795">
        <w:tc>
          <w:tcPr>
            <w:tcW w:w="143" w:type="pct"/>
          </w:tcPr>
          <w:p w14:paraId="73DBA040" w14:textId="079009E6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4B9FAF82" w14:textId="7819B27A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81CFC99" w14:textId="2CFB6E0C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1B13426A" w14:textId="1BB36FDB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CE7A543" w14:textId="45A38905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6DBBE37D" w14:textId="148EC240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5C131EAE" w14:textId="084048BD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648CE52E" w14:textId="36D9EDC2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0C410C1A" w14:textId="7B139EB9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3679F49F" w14:textId="03A479E5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FAA53EC" w14:textId="04EF1672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1</w:t>
            </w:r>
          </w:p>
        </w:tc>
        <w:tc>
          <w:tcPr>
            <w:tcW w:w="143" w:type="pct"/>
          </w:tcPr>
          <w:p w14:paraId="44626E9C" w14:textId="2D92CB68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1</w:t>
            </w:r>
          </w:p>
        </w:tc>
        <w:tc>
          <w:tcPr>
            <w:tcW w:w="143" w:type="pct"/>
          </w:tcPr>
          <w:p w14:paraId="0F3A237A" w14:textId="48950CA2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446FB9C4" w14:textId="76DE919B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0D3661C2" w14:textId="2B2B6FED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7A5102E0" w14:textId="6F58E778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10E83C72" w14:textId="77C1C95F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386398A3" w14:textId="0E897AEB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5FE37A08" w14:textId="077F4091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34CD766C" w14:textId="2A3CA6E2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944EE31" w14:textId="3038917F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7472A949" w14:textId="7F2B23EC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6DD54D67" w14:textId="75662E0A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2B075A3C" w14:textId="03955A6D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541D8657" w14:textId="7AD33A29" w:rsidR="00F84D18" w:rsidRPr="00C62154" w:rsidRDefault="00C6215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2154"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01A3ABBA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C554BD">
              <w:rPr>
                <w:rFonts w:ascii="Times New Roman" w:hAnsi="Times New Roman"/>
                <w:sz w:val="21"/>
                <w:szCs w:val="21"/>
              </w:rPr>
              <w:t xml:space="preserve"> łódzkie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D00E0C4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4B741E">
              <w:rPr>
                <w:rFonts w:ascii="Times New Roman" w:hAnsi="Times New Roman"/>
                <w:sz w:val="21"/>
                <w:szCs w:val="21"/>
              </w:rPr>
              <w:t>Łódź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72D18629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4B741E" w:rsidRPr="004B741E">
              <w:rPr>
                <w:rFonts w:ascii="Times New Roman" w:hAnsi="Times New Roman"/>
                <w:sz w:val="21"/>
                <w:szCs w:val="21"/>
              </w:rPr>
              <w:t>Łódź-Polesie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67B15234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1AA9AF36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Pr="004B741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4B741E" w:rsidRPr="004B741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04DAC37C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B741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578A12C9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4B741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7254D113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3AE5C3EF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1B9A6F62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0EAFC7FD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0897F008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7C964A73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 xml:space="preserve"> 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2CB31238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4B741E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39CAF916" w:rsidR="00AE37D9" w:rsidRPr="0074622A" w:rsidRDefault="004B741E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44C4F378" w:rsidR="00AE37D9" w:rsidRPr="0074622A" w:rsidRDefault="004B741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55BDBA6E" w:rsidR="00AE37D9" w:rsidRPr="0074622A" w:rsidRDefault="004B741E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1ED947B4" w:rsidR="00155B0B" w:rsidRPr="004B741E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741E">
              <w:rPr>
                <w:rFonts w:ascii="Times New Roman" w:hAnsi="Times New Roman"/>
                <w:i/>
                <w:sz w:val="20"/>
                <w:szCs w:val="20"/>
              </w:rPr>
              <w:t>…….</w:t>
            </w:r>
            <w:r w:rsidR="004B741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4B741E">
              <w:rPr>
                <w:rFonts w:ascii="Times New Roman" w:hAnsi="Times New Roman"/>
                <w:i/>
                <w:sz w:val="20"/>
                <w:szCs w:val="20"/>
              </w:rPr>
              <w:t>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495C7389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4B741E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10A07C4A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Pr="004B741E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="004B741E" w:rsidRPr="004B741E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594ED2B" w14:textId="77777777" w:rsidR="004B741E" w:rsidRPr="0074622A" w:rsidRDefault="004B741E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</w:p>
          <w:p w14:paraId="10DFF037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Szkoła Podstawowa nr 11 im. Marii Kownackiej w Łodzi mieści się w trzykondygnacyjnym budynku połączonym parterowym łącznikiem z obiektem sportowym. Wejście do budynku głównego prowadzi ciągiem komunikacyjnym o szerokości 540 cm.</w:t>
            </w:r>
          </w:p>
          <w:p w14:paraId="7A0F2F04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Aby dostać się do pomieszczeń szatni na poziomie piwnicy należy zejść po 9 stopniach. Wejście na parter wymaga ponownego pokonania 9 stopni. Schody wejściowe do budynku wyposażone są w poręcze. Drzwi wejściowe do budynku mają szerokość w świetle co najmniej 90 cm i jest zapewniona przy nich przestrzeń manewrowa 150 cmx 150 cm.</w:t>
            </w:r>
          </w:p>
          <w:p w14:paraId="338B9FC5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W budynku szkoły nie ma urządzenia do transportu pionowego przeznaczonego do użytkowania przez osoby z  niepełnosprawnościami. Ciągi komunikacyjne w budynku mają co najmniej 370 cm. Przy wszystkich schodach wewnątrz budynku znajdują się poręcze.</w:t>
            </w:r>
          </w:p>
          <w:p w14:paraId="0E7D1107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Nie wszystkie drzwi wewnątrz budynku maja szerokość co najmniej 90 cm, przy wszystkich drzwiach zapewniona jest przestrzeń manewrowa 150 cm x 150 cm. Nie wszystkie sale lekcyjne i boksy w szatni dostępne są dla osób z niepełnosprawnościami, drzwi wejściowe do pomieszczeń nie mają wymaganej szerokości 90 cm. Nie we wszystkich pomieszczeniach użytkowych układ wyposażenia zapewnia minimalną przestrzeń o szerokości 90 cm umożliwiająca przejazd wózkiem inwalidzkim i przestrzeń manewrową o wymiarach 150 cmx 150 cm.</w:t>
            </w:r>
          </w:p>
          <w:p w14:paraId="6F02DF74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Obiekt szkoły nie jest wyposażony w ogólnodostępne pomieszczenia higieniczno-sanitarne. Drzwi do tych pomieszczeń nie mają wymaganej szerokości 90 cm. W budynku nie ma także pomieszczenia higieniczno-sanitarnego przystosowanego dla osób z niepełnosprawnością ruchową.</w:t>
            </w:r>
          </w:p>
          <w:p w14:paraId="5C4361E5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Przy budynku szkoły nie znajduje się parking. Miejsca parkingowe przeznaczone dla osób z niepełnosprawnościami znajdują się w odległości 150 m od drzwi wejściowych do szkoły.</w:t>
            </w:r>
          </w:p>
          <w:p w14:paraId="200F78AB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Osoba z psem asystującym ma prawo wstępu do szkoły. Warunkiem skorzystania z uprawnienia jest wyposażenie psa asystującego w uprząż oraz okazanie przez osobę z niepełnosprawnościami certyfikatu potwierdzającego status psa asystującego i zaświadczenia o wykonaniu wymaganych szczepień weterynaryjnych. Możliwość wejścia osoby z psem asystującym nie zwalnia tej osoby z odpowiedzialności za szkody wyrządzone przez psa asystującego. </w:t>
            </w:r>
          </w:p>
          <w:p w14:paraId="0C94EFDF" w14:textId="77777777" w:rsidR="004B741E" w:rsidRPr="004B741E" w:rsidRDefault="004B741E" w:rsidP="004B741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4B741E">
              <w:rPr>
                <w:rFonts w:ascii="Times New Roman" w:hAnsi="Times New Roman"/>
                <w:sz w:val="18"/>
                <w:szCs w:val="18"/>
              </w:rPr>
              <w:t>W szkole nie ma możliwości skorzystania z tłumacza języka migowego na miejscu oraz online.</w:t>
            </w:r>
          </w:p>
          <w:p w14:paraId="0A24106C" w14:textId="49565AA3" w:rsidR="00F34B52" w:rsidRPr="0074622A" w:rsidRDefault="00F34B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4FF48F95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AB715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74352935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AB715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46D12320" w:rsidR="00460B99" w:rsidRPr="0074622A" w:rsidRDefault="00820B32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B32">
              <w:rPr>
                <w:rFonts w:ascii="Times New Roman" w:hAnsi="Times New Roman"/>
                <w:sz w:val="20"/>
                <w:szCs w:val="20"/>
              </w:rPr>
              <w:t>https://sp11lodz.pl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63EBE5B7" w:rsidR="00460B99" w:rsidRPr="0074622A" w:rsidRDefault="009B4308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22EE5AC9" w:rsidR="00460B99" w:rsidRPr="0074622A" w:rsidRDefault="009B4308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4308">
              <w:rPr>
                <w:rFonts w:ascii="Times New Roman" w:hAnsi="Times New Roman"/>
                <w:sz w:val="20"/>
                <w:szCs w:val="20"/>
              </w:rPr>
              <w:t>https://sp11lodz.bip.wikom.pl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6E5A28F0" w:rsidR="00460B99" w:rsidRPr="0074622A" w:rsidRDefault="009B4308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413A683C" w:rsidR="002F257F" w:rsidRPr="0074622A" w:rsidRDefault="00165C11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165C11">
              <w:rPr>
                <w:rFonts w:ascii="Times New Roman" w:hAnsi="Times New Roman"/>
                <w:sz w:val="18"/>
                <w:szCs w:val="18"/>
              </w:rPr>
              <w:t xml:space="preserve">Regularnie uczestniczymy w szkoleniach z zakresu dostępności cyfrowej, aby podnosić nasze kompetencje i dostosowywać nasze rozwiązania do potrzeb wszystkich użytkowników. </w:t>
            </w:r>
            <w:proofErr w:type="spellStart"/>
            <w:r w:rsidRPr="00165C11">
              <w:rPr>
                <w:rFonts w:ascii="Times New Roman" w:hAnsi="Times New Roman"/>
                <w:sz w:val="18"/>
                <w:szCs w:val="18"/>
              </w:rPr>
              <w:t>Weryfkujemy</w:t>
            </w:r>
            <w:proofErr w:type="spellEnd"/>
            <w:r w:rsidRPr="00165C11">
              <w:rPr>
                <w:rFonts w:ascii="Times New Roman" w:hAnsi="Times New Roman"/>
                <w:sz w:val="18"/>
                <w:szCs w:val="18"/>
              </w:rPr>
              <w:t xml:space="preserve"> także nasze strony internetowe pod kątem zgodności z obowiązującymi standardami oraz systematycznie monitorujemy publikowane treści, dbając o ich dostępność i aktualnoś</w:t>
            </w:r>
            <w:r w:rsidR="00993A03">
              <w:rPr>
                <w:rFonts w:ascii="Times New Roman" w:hAnsi="Times New Roman"/>
                <w:sz w:val="18"/>
                <w:szCs w:val="18"/>
              </w:rPr>
              <w:t>ć.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45AEAA49" w:rsidR="00DE4A0F" w:rsidRPr="0074622A" w:rsidRDefault="00B9320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7A43B862" w:rsidR="009A09A3" w:rsidRPr="0074622A" w:rsidRDefault="00B9320B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29B3187A" w:rsidR="009A09A3" w:rsidRPr="0074622A" w:rsidRDefault="000F53B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2B6DC67F" w:rsidR="009A09A3" w:rsidRPr="0074622A" w:rsidRDefault="00832D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6F09D380" w:rsidR="009A09A3" w:rsidRPr="0074622A" w:rsidRDefault="000F53B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767AA124" w:rsidR="009A09A3" w:rsidRPr="0074622A" w:rsidRDefault="00832D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55FBA32B" w:rsidR="009A09A3" w:rsidRPr="0074622A" w:rsidRDefault="00832D6E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1B2EF219" w:rsidR="009A09A3" w:rsidRPr="0074622A" w:rsidRDefault="004A158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73D7BA37" w:rsidR="009A09A3" w:rsidRPr="0074622A" w:rsidRDefault="004A158D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6A9EE" w:rsidR="006F6156" w:rsidRPr="0074622A" w:rsidRDefault="00832D6E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734FAFC6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32D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3B514A6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32D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534EE93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32D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34AD0BB8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32D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B6D83A6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832D6E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59E2E3EA" w:rsidR="00F64545" w:rsidRPr="0074622A" w:rsidRDefault="00F80D2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0D1657DF" w:rsidR="00F64545" w:rsidRPr="0074622A" w:rsidRDefault="00F80D2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1C4A7E1" w:rsidR="00F64545" w:rsidRPr="0074622A" w:rsidRDefault="006B6D16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A30B0B5" w:rsidR="00F64545" w:rsidRPr="0074622A" w:rsidRDefault="00F80D2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036FA730" w:rsidR="00F64545" w:rsidRPr="0074622A" w:rsidRDefault="00F80D24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503A0582" w:rsidR="00F64545" w:rsidRPr="0074622A" w:rsidRDefault="009502C9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C8E6F65" w:rsidR="00695809" w:rsidRPr="0074622A" w:rsidRDefault="00750FB6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29C3046C" w:rsidR="009865CC" w:rsidRPr="0074622A" w:rsidRDefault="00BC2A15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6A480B35" w:rsidR="00686EDA" w:rsidRPr="0074622A" w:rsidRDefault="006E7B02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6166D5C2" w:rsidR="00686EDA" w:rsidRPr="0074622A" w:rsidRDefault="006E7B02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42F965B4" w:rsidR="00FF3ED3" w:rsidRPr="0074622A" w:rsidRDefault="0037479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D5E43">
              <w:rPr>
                <w:rFonts w:ascii="Times New Roman" w:hAnsi="Times New Roman"/>
                <w:sz w:val="20"/>
                <w:szCs w:val="20"/>
              </w:rPr>
              <w:t>42 2522800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E59D9A6" w:rsidR="00FF3ED3" w:rsidRPr="006D5E43" w:rsidRDefault="0037479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5E43">
              <w:rPr>
                <w:rFonts w:ascii="Times New Roman" w:hAnsi="Times New Roman"/>
                <w:sz w:val="20"/>
                <w:szCs w:val="20"/>
              </w:rPr>
              <w:t>Ł</w:t>
            </w:r>
            <w:r w:rsidR="006D5E43" w:rsidRPr="006D5E43">
              <w:rPr>
                <w:rFonts w:ascii="Times New Roman" w:hAnsi="Times New Roman"/>
                <w:sz w:val="20"/>
                <w:szCs w:val="20"/>
              </w:rPr>
              <w:t>ódź, 31.03.2025 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6D5E43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E43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79"/>
        <w:gridCol w:w="262"/>
        <w:gridCol w:w="318"/>
        <w:gridCol w:w="277"/>
        <w:gridCol w:w="328"/>
        <w:gridCol w:w="277"/>
        <w:gridCol w:w="318"/>
        <w:gridCol w:w="338"/>
        <w:gridCol w:w="328"/>
        <w:gridCol w:w="348"/>
        <w:gridCol w:w="348"/>
        <w:gridCol w:w="385"/>
        <w:gridCol w:w="318"/>
        <w:gridCol w:w="318"/>
        <w:gridCol w:w="307"/>
        <w:gridCol w:w="307"/>
        <w:gridCol w:w="262"/>
        <w:gridCol w:w="328"/>
        <w:gridCol w:w="328"/>
        <w:gridCol w:w="348"/>
        <w:gridCol w:w="348"/>
        <w:gridCol w:w="328"/>
        <w:gridCol w:w="262"/>
        <w:gridCol w:w="328"/>
        <w:gridCol w:w="348"/>
        <w:gridCol w:w="348"/>
        <w:gridCol w:w="262"/>
        <w:gridCol w:w="318"/>
        <w:gridCol w:w="328"/>
        <w:gridCol w:w="221"/>
        <w:gridCol w:w="221"/>
        <w:gridCol w:w="221"/>
        <w:gridCol w:w="221"/>
        <w:gridCol w:w="221"/>
        <w:gridCol w:w="221"/>
      </w:tblGrid>
      <w:tr w:rsidR="009B18CE" w:rsidRPr="0074622A" w14:paraId="444B9B2D" w14:textId="77777777" w:rsidTr="009C1674">
        <w:tc>
          <w:tcPr>
            <w:tcW w:w="238" w:type="dxa"/>
          </w:tcPr>
          <w:p w14:paraId="072FC8DC" w14:textId="5CA02FF5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4F394F0D" w14:textId="085CBB26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649A893A" w14:textId="68845EEB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11" w:type="dxa"/>
          </w:tcPr>
          <w:p w14:paraId="178F584E" w14:textId="6E479DCC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713B60D4" w14:textId="4C7D8BE0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0DFEA393" w14:textId="076BF874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7CD5E9EF" w14:textId="54273914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357C641F" w14:textId="7FC5A448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1" w:type="dxa"/>
          </w:tcPr>
          <w:p w14:paraId="0019BB21" w14:textId="5C3C4D33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762C8780" w14:textId="106A7EDD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572147" w14:textId="609195E3" w:rsidR="009C1674" w:rsidRPr="0074622A" w:rsidRDefault="00F00E86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1AA477F0" w14:textId="3DC580B0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3299EF2E" w14:textId="5CE6A47F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56798C01" w14:textId="17417DB2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0FFCE978" w14:textId="467FDC2C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dxa"/>
          </w:tcPr>
          <w:p w14:paraId="749551AB" w14:textId="322E5AE7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" w:type="dxa"/>
          </w:tcPr>
          <w:p w14:paraId="1F6B0C5A" w14:textId="37621E5E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68C59CA7" w14:textId="4A33DCCE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017A935" w14:textId="42AAB0D0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1" w:type="dxa"/>
          </w:tcPr>
          <w:p w14:paraId="26C3175E" w14:textId="294DFD92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25644512" w14:textId="300593FF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12BA9570" w14:textId="610B5BD3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1B03B19F" w14:textId="0BCEA4B8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77C1E29F" w14:textId="1191CC03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0" w:type="dxa"/>
          </w:tcPr>
          <w:p w14:paraId="641FE100" w14:textId="214C462A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0" w:type="dxa"/>
          </w:tcPr>
          <w:p w14:paraId="3607A4ED" w14:textId="54929CC0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10" w:type="dxa"/>
          </w:tcPr>
          <w:p w14:paraId="5E4EEF76" w14:textId="17945FF9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15457A21" w14:textId="32328E5A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256B0BEC" w14:textId="588BE3B1" w:rsidR="009C1674" w:rsidRPr="0074622A" w:rsidRDefault="009B18CE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5FBC" w14:textId="77777777" w:rsidR="00855470" w:rsidRDefault="00855470" w:rsidP="005840AE">
      <w:pPr>
        <w:spacing w:after="0" w:line="240" w:lineRule="auto"/>
      </w:pPr>
      <w:r>
        <w:separator/>
      </w:r>
    </w:p>
  </w:endnote>
  <w:endnote w:type="continuationSeparator" w:id="0">
    <w:p w14:paraId="4CADD13F" w14:textId="77777777" w:rsidR="00855470" w:rsidRDefault="00855470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7762D" w14:textId="77777777" w:rsidR="00855470" w:rsidRDefault="00855470" w:rsidP="005840AE">
      <w:pPr>
        <w:spacing w:after="0" w:line="240" w:lineRule="auto"/>
      </w:pPr>
      <w:r>
        <w:separator/>
      </w:r>
    </w:p>
  </w:footnote>
  <w:footnote w:type="continuationSeparator" w:id="0">
    <w:p w14:paraId="5180CF5A" w14:textId="77777777" w:rsidR="00855470" w:rsidRDefault="00855470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22430">
    <w:abstractNumId w:val="1"/>
  </w:num>
  <w:num w:numId="2" w16cid:durableId="2040616412">
    <w:abstractNumId w:val="34"/>
  </w:num>
  <w:num w:numId="3" w16cid:durableId="216281463">
    <w:abstractNumId w:val="4"/>
  </w:num>
  <w:num w:numId="4" w16cid:durableId="688141439">
    <w:abstractNumId w:val="17"/>
  </w:num>
  <w:num w:numId="5" w16cid:durableId="731733649">
    <w:abstractNumId w:val="9"/>
  </w:num>
  <w:num w:numId="6" w16cid:durableId="2006779435">
    <w:abstractNumId w:val="29"/>
  </w:num>
  <w:num w:numId="7" w16cid:durableId="165940954">
    <w:abstractNumId w:val="19"/>
  </w:num>
  <w:num w:numId="8" w16cid:durableId="273026370">
    <w:abstractNumId w:val="37"/>
  </w:num>
  <w:num w:numId="9" w16cid:durableId="370959115">
    <w:abstractNumId w:val="7"/>
  </w:num>
  <w:num w:numId="10" w16cid:durableId="558588652">
    <w:abstractNumId w:val="40"/>
  </w:num>
  <w:num w:numId="11" w16cid:durableId="554704502">
    <w:abstractNumId w:val="15"/>
  </w:num>
  <w:num w:numId="12" w16cid:durableId="1122649517">
    <w:abstractNumId w:val="20"/>
  </w:num>
  <w:num w:numId="13" w16cid:durableId="1575048600">
    <w:abstractNumId w:val="44"/>
  </w:num>
  <w:num w:numId="14" w16cid:durableId="692078261">
    <w:abstractNumId w:val="16"/>
  </w:num>
  <w:num w:numId="15" w16cid:durableId="1341620033">
    <w:abstractNumId w:val="21"/>
  </w:num>
  <w:num w:numId="16" w16cid:durableId="1198933515">
    <w:abstractNumId w:val="38"/>
  </w:num>
  <w:num w:numId="17" w16cid:durableId="2115661603">
    <w:abstractNumId w:val="12"/>
  </w:num>
  <w:num w:numId="18" w16cid:durableId="745495141">
    <w:abstractNumId w:val="18"/>
  </w:num>
  <w:num w:numId="19" w16cid:durableId="1759712787">
    <w:abstractNumId w:val="41"/>
  </w:num>
  <w:num w:numId="20" w16cid:durableId="2059930453">
    <w:abstractNumId w:val="24"/>
  </w:num>
  <w:num w:numId="21" w16cid:durableId="1434321728">
    <w:abstractNumId w:val="10"/>
  </w:num>
  <w:num w:numId="22" w16cid:durableId="1187334514">
    <w:abstractNumId w:val="11"/>
  </w:num>
  <w:num w:numId="23" w16cid:durableId="665329464">
    <w:abstractNumId w:val="0"/>
  </w:num>
  <w:num w:numId="24" w16cid:durableId="1519078332">
    <w:abstractNumId w:val="5"/>
  </w:num>
  <w:num w:numId="25" w16cid:durableId="1070344707">
    <w:abstractNumId w:val="25"/>
  </w:num>
  <w:num w:numId="26" w16cid:durableId="210961358">
    <w:abstractNumId w:val="32"/>
  </w:num>
  <w:num w:numId="27" w16cid:durableId="1492602365">
    <w:abstractNumId w:val="43"/>
  </w:num>
  <w:num w:numId="28" w16cid:durableId="1145509824">
    <w:abstractNumId w:val="3"/>
  </w:num>
  <w:num w:numId="29" w16cid:durableId="1125152613">
    <w:abstractNumId w:val="28"/>
  </w:num>
  <w:num w:numId="30" w16cid:durableId="1891526741">
    <w:abstractNumId w:val="30"/>
  </w:num>
  <w:num w:numId="31" w16cid:durableId="2099791888">
    <w:abstractNumId w:val="22"/>
  </w:num>
  <w:num w:numId="32" w16cid:durableId="280259624">
    <w:abstractNumId w:val="33"/>
  </w:num>
  <w:num w:numId="33" w16cid:durableId="1165439096">
    <w:abstractNumId w:val="6"/>
  </w:num>
  <w:num w:numId="34" w16cid:durableId="792558841">
    <w:abstractNumId w:val="13"/>
  </w:num>
  <w:num w:numId="35" w16cid:durableId="1245726365">
    <w:abstractNumId w:val="42"/>
  </w:num>
  <w:num w:numId="36" w16cid:durableId="1159540941">
    <w:abstractNumId w:val="36"/>
  </w:num>
  <w:num w:numId="37" w16cid:durableId="1693022736">
    <w:abstractNumId w:val="27"/>
  </w:num>
  <w:num w:numId="38" w16cid:durableId="928267609">
    <w:abstractNumId w:val="26"/>
  </w:num>
  <w:num w:numId="39" w16cid:durableId="1572543079">
    <w:abstractNumId w:val="14"/>
  </w:num>
  <w:num w:numId="40" w16cid:durableId="1623614665">
    <w:abstractNumId w:val="2"/>
  </w:num>
  <w:num w:numId="41" w16cid:durableId="563877568">
    <w:abstractNumId w:val="35"/>
  </w:num>
  <w:num w:numId="42" w16cid:durableId="1014264455">
    <w:abstractNumId w:val="8"/>
  </w:num>
  <w:num w:numId="43" w16cid:durableId="290670777">
    <w:abstractNumId w:val="31"/>
  </w:num>
  <w:num w:numId="44" w16cid:durableId="1588229574">
    <w:abstractNumId w:val="39"/>
  </w:num>
  <w:num w:numId="45" w16cid:durableId="19543577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3B0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C11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22E3"/>
    <w:rsid w:val="001D33E0"/>
    <w:rsid w:val="001D518D"/>
    <w:rsid w:val="001D5C0F"/>
    <w:rsid w:val="001D6FA0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6F85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479A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58D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41E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B6D16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E43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B0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0FB6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1460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0B3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2D6E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2C9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A03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18CE"/>
    <w:rsid w:val="009B270B"/>
    <w:rsid w:val="009B4308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B715A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320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A15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4BD"/>
    <w:rsid w:val="00C559B9"/>
    <w:rsid w:val="00C55C73"/>
    <w:rsid w:val="00C56BEC"/>
    <w:rsid w:val="00C571E8"/>
    <w:rsid w:val="00C61C2B"/>
    <w:rsid w:val="00C62154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B67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1ED1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0E86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0D24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6521</Words>
  <Characters>39130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Magdalena Malinowska</cp:lastModifiedBy>
  <cp:revision>25</cp:revision>
  <cp:lastPrinted>2024-05-20T08:37:00Z</cp:lastPrinted>
  <dcterms:created xsi:type="dcterms:W3CDTF">2025-04-01T09:14:00Z</dcterms:created>
  <dcterms:modified xsi:type="dcterms:W3CDTF">2025-04-01T09:43:00Z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